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bookmarkStart w:id="2" w:name="_GoBack"/>
      <w:r>
        <w:rPr>
          <w:b/>
          <w:bCs/>
          <w:color w:val="000000"/>
          <w:sz w:val="32"/>
          <w:szCs w:val="36"/>
        </w:rPr>
        <w:t>Globalization and Architecture</w:t>
      </w:r>
      <w:bookmarkEnd w:id="2"/>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w w:val="90"/>
              </w:rPr>
              <w:t>CCGL9034</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shd w:val="clear" w:color="auto" w:fill="auto"/>
            <w:vAlign w:val="center"/>
          </w:tcPr>
          <w:p>
            <w:pPr>
              <w:jc w:val="center"/>
            </w:pPr>
            <w:r>
              <w:t>143 hrs</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color w:val="00B050"/>
              </w:rPr>
              <w:t>（中文）</w:t>
            </w:r>
            <w:r>
              <w:rPr>
                <w:rFonts w:hint="eastAsia"/>
                <w:color w:val="000000"/>
                <w:sz w:val="23"/>
                <w:szCs w:val="23"/>
              </w:rPr>
              <w:t>全球化与建设环境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shd w:val="clear" w:color="auto" w:fill="auto"/>
            <w:vAlign w:val="center"/>
          </w:tcPr>
          <w:p>
            <w:pPr>
              <w:rPr>
                <w:color w:val="00B050"/>
              </w:rPr>
            </w:pPr>
            <w:r>
              <w:rPr>
                <w:rFonts w:hint="eastAsia"/>
                <w:color w:val="00B050"/>
              </w:rPr>
              <w:t>（英文）</w:t>
            </w:r>
            <w:r>
              <w:rPr>
                <w:color w:val="000000"/>
              </w:rPr>
              <w:t>Globalization and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left"/>
              <w:rPr>
                <w:color w:val="00B050"/>
              </w:rPr>
            </w:pPr>
            <w:r>
              <w:rPr>
                <w:rFonts w:hint="eastAsia"/>
              </w:rPr>
              <w:t>通识核心课程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rPr>
                <w:rFonts w:hint="eastAsia"/>
              </w:rPr>
            </w:pPr>
            <w:r>
              <w:rPr>
                <w:rFonts w:hint="eastAsia"/>
              </w:rPr>
              <w:t>交大与港大学生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shd w:val="clear" w:color="auto" w:fill="auto"/>
            <w:vAlign w:val="center"/>
          </w:tcPr>
          <w:p>
            <w:pPr>
              <w:jc w:val="left"/>
            </w:pPr>
            <w:r>
              <w:t>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shd w:val="clear" w:color="auto" w:fill="auto"/>
            <w:vAlign w:val="center"/>
          </w:tcPr>
          <w:p>
            <w:pPr>
              <w:jc w:val="center"/>
            </w:pPr>
            <w:r>
              <w:t>Mr. WEE, H. Koon (</w:t>
            </w:r>
            <w:r>
              <w:rPr>
                <w:rFonts w:hint="eastAsia"/>
              </w:rPr>
              <w:t>黃向軍</w:t>
            </w:r>
            <w:r>
              <w:t>)</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shd w:val="clear" w:color="auto" w:fill="auto"/>
            <w:vAlign w:val="center"/>
          </w:tcPr>
          <w:p>
            <w:pPr>
              <w:jc w:val="center"/>
            </w:pPr>
            <w:r>
              <w:fldChar w:fldCharType="begin"/>
            </w:r>
            <w:r>
              <w:instrText xml:space="preserve"> HYPERLINK "https://commoncore.hku.hk/ccgl9034/" </w:instrText>
            </w:r>
            <w:r>
              <w:fldChar w:fldCharType="separate"/>
            </w:r>
            <w:r>
              <w:rPr>
                <w:rStyle w:val="7"/>
                <w:color w:val="auto"/>
              </w:rPr>
              <w:t>https://commoncore.hku.hk/ccgl9034/</w:t>
            </w:r>
            <w:r>
              <w:rPr>
                <w:rStyle w:val="7"/>
                <w:color w:val="auto"/>
              </w:rPr>
              <w:fldChar w:fldCharType="end"/>
            </w:r>
            <w:r>
              <w:rPr>
                <w:rStyle w:val="7"/>
                <w:color w:val="auto"/>
              </w:rPr>
              <w:t xml:space="preserve"> </w:t>
            </w:r>
            <w:r>
              <w:rPr>
                <w:rStyle w:val="7"/>
                <w:i/>
                <w:color w:val="auto"/>
                <w:highlight w:val="cyan"/>
              </w:rPr>
              <w:t>(tentative)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shd w:val="clear" w:color="auto" w:fill="auto"/>
            <w:vAlign w:val="center"/>
          </w:tcPr>
          <w:p>
            <w:pPr>
              <w:rPr>
                <w:color w:val="00B050"/>
              </w:rPr>
            </w:pPr>
            <w:r>
              <w:rPr>
                <w:rFonts w:hint="eastAsia"/>
                <w:color w:val="00B050"/>
              </w:rPr>
              <w:t>（中文300-500字，含课程性质、主要教学内容、课程教学目标等）</w:t>
            </w:r>
          </w:p>
          <w:p>
            <w:pPr>
              <w:adjustRightInd w:val="0"/>
              <w:snapToGrid w:val="0"/>
              <w:spacing w:line="0" w:lineRule="atLeast"/>
            </w:pPr>
            <w:r>
              <w:rPr>
                <w:rFonts w:hint="eastAsia"/>
              </w:rPr>
              <w:t>本课程旨在研究全球化如何在建筑和城市环境中显现出来。如果我们可以了解周围的环境和所居住的建筑物是如何被制造出来以及如何投入运作，那么我们将受益匪浅。随着我们对人造环境的各种影响有了更深入的了解，我们可以考量如何在这全球化时代中寻求一种更健康、更具参与式的建筑方式，以改善我们的居住环境。法国哲学家</w:t>
            </w:r>
            <w:r>
              <w:t>Paul Ricoeur</w:t>
            </w:r>
            <w:r>
              <w:rPr>
                <w:rFonts w:hint="eastAsia"/>
              </w:rPr>
              <w:t>曾描述过一种包含科学精神和消费文化的理论，称为“普世文明”。如今，人们已经普遍受到全球化的影响，这很大程度上得益于信息时代、技术进步以及更自由的资本和劳动力流动。本课程将关注我们所居住的建筑环境与城市，籍此评估全球化所带来的发展和转型，判断建筑物的品质。通过了解这些创新和合作形式、以及当地企业对于外部力量的抵抗，我们将会更好地面对全球化的勃兴。此外，本课程的研究将专注于我们城市中七种不同类型的建筑物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shd w:val="clear" w:color="auto" w:fill="auto"/>
            <w:vAlign w:val="center"/>
          </w:tcPr>
          <w:p>
            <w:pPr>
              <w:jc w:val="left"/>
              <w:rPr>
                <w:color w:val="00B050"/>
              </w:rPr>
            </w:pPr>
            <w:r>
              <w:rPr>
                <w:rFonts w:hint="eastAsia"/>
                <w:color w:val="00B050"/>
              </w:rPr>
              <w:t>（英文300-500字）</w:t>
            </w:r>
          </w:p>
          <w:p>
            <w:pPr>
              <w:adjustRightInd w:val="0"/>
              <w:snapToGrid w:val="0"/>
              <w:spacing w:line="0" w:lineRule="atLeast"/>
              <w:rPr>
                <w:rFonts w:eastAsia="宋体"/>
                <w:kern w:val="0"/>
                <w:sz w:val="22"/>
              </w:rPr>
            </w:pPr>
            <w:r>
              <w:rPr>
                <w:rFonts w:eastAsia="宋体"/>
              </w:rPr>
              <w:t>This course aims to examine how the condition of globalization reveals itself in architecture and the urban environment. In our immediate surroundings, it would benefit us greatly if we can grasp how the buildings that we inhabit are made and how they function. With an improved understanding of the various forces at play in the shaping of our human-made environment, we should be encouraged to think of ways to support a healthier kind of citizenry participation in the making of our buildings in the era of globalization. Paul Ricoeur described a condition of “universal civilization” that encapsulates a scientific spirit and consumer culture. Today, we are perhaps operating universally under the effects of globalization, aided in no small part by the advent of the information age as well as technological advancement, and a more liberal flow of capital and labour. This course will seek the architecture and city we live in as a barometer that measures these effects – appraising specifically the qualities and identities of buildings and districts built or transformed as a result of globalization. By understanding the innovative and co-operative forms that have emerged, as well as resistances of local practices to external forces, we will be better equipped to cope with these global forces. This course will, more specifically, examine seven different types of building typologies and environments in our cities.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shd w:val="clear" w:color="auto" w:fill="auto"/>
            <w:vAlign w:val="center"/>
          </w:tcPr>
          <w:p>
            <w:pPr>
              <w:pStyle w:val="10"/>
              <w:numPr>
                <w:ilvl w:val="0"/>
                <w:numId w:val="1"/>
              </w:numPr>
              <w:ind w:firstLineChars="0"/>
              <w:rPr>
                <w:rFonts w:eastAsia="宋体"/>
              </w:rPr>
            </w:pPr>
            <w:r>
              <w:rPr>
                <w:rFonts w:eastAsia="宋体"/>
              </w:rPr>
              <w:t xml:space="preserve">Define the important characteristics of the various economic, political, sociological, cultural and urban forces of globalization, and identify critical theories that had influenced the development of architecture and the city.  </w:t>
            </w:r>
          </w:p>
          <w:p>
            <w:pPr>
              <w:pStyle w:val="10"/>
              <w:ind w:left="360" w:firstLine="0" w:firstLineChars="0"/>
              <w:rPr>
                <w:rFonts w:eastAsia="宋体"/>
              </w:rPr>
            </w:pPr>
            <w:r>
              <w:rPr>
                <w:rFonts w:hint="eastAsia" w:eastAsia="宋体"/>
              </w:rPr>
              <w:t>找出全球化的各种经济，政治，社会，文化和城市力量的重要特征，并探求影响建筑和城市发展的批判理论。</w:t>
            </w:r>
          </w:p>
          <w:p>
            <w:pPr>
              <w:pStyle w:val="10"/>
              <w:numPr>
                <w:ilvl w:val="0"/>
                <w:numId w:val="1"/>
              </w:numPr>
              <w:ind w:firstLineChars="0"/>
            </w:pPr>
            <w:r>
              <w:rPr>
                <w:rFonts w:eastAsia="宋体"/>
              </w:rPr>
              <w:t>Analyze the viability of various theories of globalization, and how different architectural and urban manifestations of globalization had enhanced the lives of its inhabitants, while incurring implied or hidden costs to society. Evaluate how each of the case studies were carried out, and how improvements may be made for the future.</w:t>
            </w:r>
          </w:p>
          <w:p>
            <w:pPr>
              <w:pStyle w:val="10"/>
              <w:ind w:left="360" w:firstLine="0" w:firstLineChars="0"/>
            </w:pPr>
            <w:r>
              <w:rPr>
                <w:rFonts w:hint="eastAsia" w:eastAsia="宋体"/>
              </w:rPr>
              <w:t>分析各种全球化理论的可行性，以及全球化的不同建筑和城市表现如何改善其居民的生活，同时带来隐含或隐藏的社会成本。评估每个案例研究的执行方式，以及如何对未来进行改进。</w:t>
            </w:r>
          </w:p>
          <w:p>
            <w:pPr>
              <w:pStyle w:val="10"/>
              <w:numPr>
                <w:ilvl w:val="0"/>
                <w:numId w:val="1"/>
              </w:numPr>
              <w:ind w:firstLineChars="0"/>
            </w:pPr>
            <w:r>
              <w:rPr>
                <w:rFonts w:eastAsia="宋体"/>
              </w:rPr>
              <w:t>Demonstrate awareness towards the collaborative and interdisciplinary nature of the making of our cities, especially in light of the dissolving of conventional boundaries for improved global connectivity, for better tolerance of differences in our society, and for a more socially and environmentally sustainable approach towards our built environment.</w:t>
            </w:r>
          </w:p>
          <w:p>
            <w:pPr>
              <w:pStyle w:val="10"/>
              <w:ind w:left="360" w:firstLine="0" w:firstLineChars="0"/>
            </w:pPr>
            <w:r>
              <w:rPr>
                <w:rFonts w:hint="eastAsia" w:eastAsia="宋体"/>
              </w:rPr>
              <w:t>展示我们对城市建设的协作和跨学科性质的认识，尤其是传统边界的消解对推动全球连通性、接受社会差异的作用，建设在社会和环境双方面皆可持续发展的建筑环境。</w:t>
            </w:r>
          </w:p>
          <w:p>
            <w:pPr>
              <w:pStyle w:val="10"/>
              <w:numPr>
                <w:ilvl w:val="0"/>
                <w:numId w:val="1"/>
              </w:numPr>
              <w:ind w:firstLineChars="0"/>
            </w:pPr>
            <w:r>
              <w:rPr>
                <w:rFonts w:eastAsia="宋体"/>
              </w:rPr>
              <w:t>Identify the broad literature that surrounds the concept of globalization, and its impact on our built environment.</w:t>
            </w:r>
          </w:p>
          <w:p>
            <w:pPr>
              <w:pStyle w:val="10"/>
              <w:ind w:left="360" w:firstLine="0" w:firstLineChars="0"/>
            </w:pPr>
            <w:r>
              <w:rPr>
                <w:rFonts w:hint="eastAsia" w:eastAsia="宋体"/>
              </w:rPr>
              <w:t>确定围绕全球化概念的文献及其对我们建筑环境的影响。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196" w:hRule="atLeast"/>
              </w:trPr>
              <w:tc>
                <w:tcPr>
                  <w:tcW w:w="7269" w:type="dxa"/>
                  <w:gridSpan w:val="6"/>
                  <w:shd w:val="clear" w:color="auto" w:fill="auto"/>
                </w:tcPr>
                <w:p>
                  <w:pPr>
                    <w:pStyle w:val="10"/>
                    <w:numPr>
                      <w:ilvl w:val="0"/>
                      <w:numId w:val="2"/>
                    </w:numPr>
                    <w:tabs>
                      <w:tab w:val="left" w:pos="2657"/>
                    </w:tabs>
                    <w:spacing w:after="0" w:line="240" w:lineRule="auto"/>
                    <w:ind w:firstLineChars="0"/>
                    <w:jc w:val="left"/>
                  </w:pPr>
                  <w:r>
                    <w:t>Lectures and tutorials (32 hrs)</w:t>
                  </w:r>
                </w:p>
                <w:p>
                  <w:pPr>
                    <w:pStyle w:val="10"/>
                    <w:numPr>
                      <w:ilvl w:val="0"/>
                      <w:numId w:val="3"/>
                    </w:numPr>
                    <w:spacing w:after="0" w:line="240" w:lineRule="auto"/>
                    <w:ind w:firstLineChars="0"/>
                    <w:jc w:val="left"/>
                  </w:pPr>
                  <w:r>
                    <w:t>Introduction</w:t>
                  </w:r>
                </w:p>
                <w:p>
                  <w:pPr>
                    <w:pStyle w:val="10"/>
                    <w:numPr>
                      <w:ilvl w:val="0"/>
                      <w:numId w:val="3"/>
                    </w:numPr>
                    <w:spacing w:after="0" w:line="240" w:lineRule="auto"/>
                    <w:ind w:firstLineChars="0"/>
                    <w:jc w:val="left"/>
                  </w:pPr>
                  <w:r>
                    <w:t>Museums &amp; Art Events</w:t>
                  </w:r>
                </w:p>
                <w:p>
                  <w:pPr>
                    <w:pStyle w:val="10"/>
                    <w:numPr>
                      <w:ilvl w:val="0"/>
                      <w:numId w:val="3"/>
                    </w:numPr>
                    <w:spacing w:after="0" w:line="240" w:lineRule="auto"/>
                    <w:ind w:firstLineChars="0"/>
                    <w:jc w:val="left"/>
                  </w:pPr>
                  <w:r>
                    <w:t>Skyscrapers &amp; Branded Buildings</w:t>
                  </w:r>
                </w:p>
                <w:p>
                  <w:pPr>
                    <w:pStyle w:val="10"/>
                    <w:numPr>
                      <w:ilvl w:val="0"/>
                      <w:numId w:val="3"/>
                    </w:numPr>
                    <w:spacing w:after="0" w:line="240" w:lineRule="auto"/>
                    <w:ind w:firstLineChars="0"/>
                    <w:jc w:val="left"/>
                  </w:pPr>
                  <w:r>
                    <w:t>Disneyland &amp; Themed Environments</w:t>
                  </w:r>
                </w:p>
                <w:p>
                  <w:pPr>
                    <w:pStyle w:val="10"/>
                    <w:numPr>
                      <w:ilvl w:val="0"/>
                      <w:numId w:val="3"/>
                    </w:numPr>
                    <w:spacing w:after="0" w:line="240" w:lineRule="auto"/>
                    <w:ind w:firstLineChars="0"/>
                    <w:jc w:val="left"/>
                  </w:pPr>
                  <w:r>
                    <w:t>Airports &amp; Transportation Networks</w:t>
                  </w:r>
                </w:p>
                <w:p>
                  <w:pPr>
                    <w:pStyle w:val="10"/>
                    <w:numPr>
                      <w:ilvl w:val="0"/>
                      <w:numId w:val="3"/>
                    </w:numPr>
                    <w:spacing w:after="0" w:line="240" w:lineRule="auto"/>
                    <w:ind w:firstLineChars="0"/>
                    <w:jc w:val="left"/>
                  </w:pPr>
                  <w:r>
                    <w:t>Suburbs &amp; Gated Communities</w:t>
                  </w:r>
                </w:p>
                <w:p>
                  <w:pPr>
                    <w:pStyle w:val="10"/>
                    <w:numPr>
                      <w:ilvl w:val="0"/>
                      <w:numId w:val="3"/>
                    </w:numPr>
                    <w:spacing w:after="0" w:line="240" w:lineRule="auto"/>
                    <w:ind w:firstLineChars="0"/>
                    <w:jc w:val="left"/>
                  </w:pPr>
                  <w:r>
                    <w:t>Server Farms &amp; Digital Infrastructure</w:t>
                  </w:r>
                </w:p>
                <w:p>
                  <w:pPr>
                    <w:pStyle w:val="10"/>
                    <w:numPr>
                      <w:ilvl w:val="0"/>
                      <w:numId w:val="3"/>
                    </w:numPr>
                    <w:spacing w:after="0" w:line="240" w:lineRule="auto"/>
                    <w:ind w:firstLineChars="0"/>
                    <w:jc w:val="left"/>
                  </w:pPr>
                  <w:r>
                    <w:t>Shopping Malls &amp; Consumerist Spaces</w:t>
                  </w:r>
                </w:p>
                <w:p>
                  <w:pPr>
                    <w:pStyle w:val="10"/>
                    <w:numPr>
                      <w:ilvl w:val="0"/>
                      <w:numId w:val="4"/>
                    </w:numPr>
                    <w:spacing w:after="0" w:line="240" w:lineRule="auto"/>
                    <w:ind w:firstLineChars="0"/>
                    <w:jc w:val="left"/>
                  </w:pPr>
                  <w:r>
                    <w:t>Fieldwork / Visits (16 hrs)</w:t>
                  </w:r>
                </w:p>
                <w:p>
                  <w:pPr>
                    <w:pStyle w:val="10"/>
                    <w:numPr>
                      <w:ilvl w:val="0"/>
                      <w:numId w:val="4"/>
                    </w:numPr>
                    <w:spacing w:after="0" w:line="240" w:lineRule="auto"/>
                    <w:ind w:firstLineChars="0"/>
                    <w:jc w:val="left"/>
                  </w:pPr>
                  <w:r>
                    <w:t>Film screening and discussion (2 hrs)</w:t>
                  </w:r>
                </w:p>
                <w:p>
                  <w:pPr>
                    <w:pStyle w:val="10"/>
                    <w:numPr>
                      <w:ilvl w:val="0"/>
                      <w:numId w:val="4"/>
                    </w:numPr>
                    <w:spacing w:after="0" w:line="240" w:lineRule="auto"/>
                    <w:ind w:firstLineChars="0"/>
                    <w:jc w:val="left"/>
                  </w:pPr>
                  <w:r>
                    <w:t>Reading / Self Study (54 hrs)</w:t>
                  </w:r>
                </w:p>
                <w:p>
                  <w:pPr>
                    <w:pStyle w:val="10"/>
                    <w:numPr>
                      <w:ilvl w:val="0"/>
                      <w:numId w:val="4"/>
                    </w:numPr>
                    <w:spacing w:after="0" w:line="240" w:lineRule="auto"/>
                    <w:ind w:firstLineChars="0"/>
                    <w:jc w:val="left"/>
                  </w:pPr>
                  <w:r>
                    <w:t>Assessment</w:t>
                  </w:r>
                </w:p>
                <w:p>
                  <w:pPr>
                    <w:pStyle w:val="10"/>
                    <w:numPr>
                      <w:ilvl w:val="0"/>
                      <w:numId w:val="3"/>
                    </w:numPr>
                    <w:spacing w:after="0" w:line="240" w:lineRule="auto"/>
                    <w:ind w:firstLineChars="0"/>
                    <w:jc w:val="left"/>
                  </w:pPr>
                  <w:r>
                    <w:t>Presentation (including preparation) (36 hrs)</w:t>
                  </w:r>
                </w:p>
                <w:p>
                  <w:pPr>
                    <w:pStyle w:val="10"/>
                    <w:numPr>
                      <w:ilvl w:val="0"/>
                      <w:numId w:val="3"/>
                    </w:numPr>
                    <w:spacing w:after="0" w:line="240" w:lineRule="auto"/>
                    <w:ind w:firstLineChars="0"/>
                    <w:jc w:val="left"/>
                  </w:pPr>
                  <w:r>
                    <w:t>Quiz (1 hr)</w:t>
                  </w:r>
                </w:p>
                <w:p>
                  <w:pPr>
                    <w:pStyle w:val="10"/>
                    <w:numPr>
                      <w:ilvl w:val="0"/>
                      <w:numId w:val="3"/>
                    </w:numPr>
                    <w:spacing w:after="0" w:line="240" w:lineRule="auto"/>
                    <w:ind w:firstLineChars="0"/>
                    <w:jc w:val="left"/>
                  </w:pPr>
                  <w:r>
                    <w:t>Essay / Workshop (2 hrs)</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shd w:val="clear" w:color="auto" w:fill="auto"/>
            <w:vAlign w:val="center"/>
          </w:tcPr>
          <w:p>
            <w:pPr>
              <w:jc w:val="left"/>
              <w:rPr>
                <w:color w:val="00B050"/>
              </w:rPr>
            </w:pPr>
            <w:r>
              <w:rPr>
                <w:rFonts w:hint="eastAsia"/>
                <w:color w:val="00B050"/>
              </w:rPr>
              <w:t>（成</w:t>
            </w:r>
            <w:bookmarkStart w:id="0" w:name="OLE_LINK6"/>
            <w:bookmarkStart w:id="1" w:name="OLE_LINK5"/>
            <w:r>
              <w:rPr>
                <w:rFonts w:hint="eastAsia"/>
                <w:color w:val="00B050"/>
              </w:rPr>
              <w:t>绩构成）</w:t>
            </w:r>
            <w:bookmarkEnd w:id="0"/>
            <w:bookmarkEnd w:id="1"/>
          </w:p>
          <w:p>
            <w:pPr>
              <w:jc w:val="left"/>
            </w:pPr>
            <w:r>
              <w:t>100% Coursework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shd w:val="clear" w:color="auto" w:fill="auto"/>
            <w:vAlign w:val="center"/>
          </w:tcPr>
          <w:p>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pPr>
              <w:spacing w:after="0" w:line="240" w:lineRule="auto"/>
              <w:ind w:left="432" w:hanging="450"/>
              <w:rPr>
                <w:rFonts w:ascii="Times New Roman" w:hAnsi="Times New Roman" w:eastAsia="Times New Roman" w:cs="Times New Roman"/>
                <w:color w:val="000000" w:themeColor="text1"/>
                <w:u w:val="single"/>
                <w14:textFill>
                  <w14:solidFill>
                    <w14:schemeClr w14:val="tx1"/>
                  </w14:solidFill>
                </w14:textFill>
              </w:rPr>
            </w:pPr>
            <w:r>
              <w:rPr>
                <w:rFonts w:ascii="Times New Roman" w:hAnsi="Times New Roman" w:eastAsia="Times New Roman" w:cs="Times New Roman"/>
                <w:color w:val="000000" w:themeColor="text1"/>
                <w:u w:val="single"/>
                <w14:textFill>
                  <w14:solidFill>
                    <w14:schemeClr w14:val="tx1"/>
                  </w14:solidFill>
                </w14:textFill>
              </w:rPr>
              <w:t>Excerpts from:</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Appadurai, A. (1996). </w:t>
            </w:r>
            <w:r>
              <w:rPr>
                <w:rFonts w:ascii="Times New Roman" w:hAnsi="Times New Roman" w:eastAsia="Times New Roman" w:cs="Times New Roman"/>
                <w:i/>
                <w:iCs/>
                <w:color w:val="000000" w:themeColor="text1"/>
                <w14:textFill>
                  <w14:solidFill>
                    <w14:schemeClr w14:val="tx1"/>
                  </w14:solidFill>
                </w14:textFill>
              </w:rPr>
              <w:t>Modernity at large: Cultural dimensions of globalization.</w:t>
            </w:r>
            <w:r>
              <w:rPr>
                <w:rFonts w:ascii="Times New Roman" w:hAnsi="Times New Roman" w:eastAsia="Times New Roman" w:cs="Times New Roman"/>
                <w:color w:val="000000" w:themeColor="text1"/>
                <w14:textFill>
                  <w14:solidFill>
                    <w14:schemeClr w14:val="tx1"/>
                  </w14:solidFill>
                </w14:textFill>
              </w:rPr>
              <w:t> Minneapolis, MN: University of Minnesota Press.</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Augé, M. (1995). </w:t>
            </w:r>
            <w:r>
              <w:rPr>
                <w:rFonts w:ascii="Times New Roman" w:hAnsi="Times New Roman" w:eastAsia="Times New Roman" w:cs="Times New Roman"/>
                <w:i/>
                <w:iCs/>
                <w:color w:val="000000" w:themeColor="text1"/>
                <w14:textFill>
                  <w14:solidFill>
                    <w14:schemeClr w14:val="tx1"/>
                  </w14:solidFill>
                </w14:textFill>
              </w:rPr>
              <w:t>Non-places: An introduction to supermodernity</w:t>
            </w:r>
            <w:r>
              <w:rPr>
                <w:rFonts w:ascii="Times New Roman" w:hAnsi="Times New Roman" w:eastAsia="Times New Roman" w:cs="Times New Roman"/>
                <w:color w:val="000000" w:themeColor="text1"/>
                <w14:textFill>
                  <w14:solidFill>
                    <w14:schemeClr w14:val="tx1"/>
                  </w14:solidFill>
                </w14:textFill>
              </w:rPr>
              <w:t>. London; New York: Verso.</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Colquhoun, A. (1997). The concept of regionalism. In G. B. Nalbantoglu &amp; C. T. Wong (Eds.), </w:t>
            </w:r>
            <w:r>
              <w:rPr>
                <w:rFonts w:ascii="Times New Roman" w:hAnsi="Times New Roman" w:eastAsia="Times New Roman" w:cs="Times New Roman"/>
                <w:i/>
                <w:iCs/>
                <w:color w:val="000000" w:themeColor="text1"/>
                <w14:textFill>
                  <w14:solidFill>
                    <w14:schemeClr w14:val="tx1"/>
                  </w14:solidFill>
                </w14:textFill>
              </w:rPr>
              <w:t>Postcolonial space(s)</w:t>
            </w:r>
            <w:r>
              <w:rPr>
                <w:rFonts w:ascii="Times New Roman" w:hAnsi="Times New Roman" w:eastAsia="Times New Roman" w:cs="Times New Roman"/>
                <w:color w:val="000000" w:themeColor="text1"/>
                <w14:textFill>
                  <w14:solidFill>
                    <w14:schemeClr w14:val="tx1"/>
                  </w14:solidFill>
                </w14:textFill>
              </w:rPr>
              <w:t>. New York: Princeton Architectural Press.</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Davis, M. (1992). Fortress Los Angeles: The militarization of urban space. In M. Sorkin (Ed.), </w:t>
            </w:r>
            <w:r>
              <w:rPr>
                <w:rFonts w:ascii="Times New Roman" w:hAnsi="Times New Roman" w:eastAsia="Times New Roman" w:cs="Times New Roman"/>
                <w:i/>
                <w:iCs/>
                <w:color w:val="000000" w:themeColor="text1"/>
                <w14:textFill>
                  <w14:solidFill>
                    <w14:schemeClr w14:val="tx1"/>
                  </w14:solidFill>
                </w14:textFill>
              </w:rPr>
              <w:t>Variations on a theme park: The new American city and the end of public space.</w:t>
            </w:r>
            <w:r>
              <w:rPr>
                <w:rFonts w:ascii="Times New Roman" w:hAnsi="Times New Roman" w:eastAsia="Times New Roman" w:cs="Times New Roman"/>
                <w:color w:val="000000" w:themeColor="text1"/>
                <w14:textFill>
                  <w14:solidFill>
                    <w14:schemeClr w14:val="tx1"/>
                  </w14:solidFill>
                </w14:textFill>
              </w:rPr>
              <w:t> New York: Hill and Wang.</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Easterling, K. (2005). Enduring innocence: </w:t>
            </w:r>
            <w:r>
              <w:rPr>
                <w:rFonts w:ascii="Times New Roman" w:hAnsi="Times New Roman" w:eastAsia="Times New Roman" w:cs="Times New Roman"/>
                <w:i/>
                <w:iCs/>
                <w:color w:val="000000" w:themeColor="text1"/>
                <w14:textFill>
                  <w14:solidFill>
                    <w14:schemeClr w14:val="tx1"/>
                  </w14:solidFill>
                </w14:textFill>
              </w:rPr>
              <w:t>Global architecture and its political masquerades.</w:t>
            </w:r>
            <w:r>
              <w:rPr>
                <w:rFonts w:ascii="Times New Roman" w:hAnsi="Times New Roman" w:eastAsia="Times New Roman" w:cs="Times New Roman"/>
                <w:color w:val="000000" w:themeColor="text1"/>
                <w14:textFill>
                  <w14:solidFill>
                    <w14:schemeClr w14:val="tx1"/>
                  </w14:solidFill>
                </w14:textFill>
              </w:rPr>
              <w:t> Cambridge, MA; London: MIT Press.</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Hardt, M., &amp; Negri, A. (2000). </w:t>
            </w:r>
            <w:r>
              <w:rPr>
                <w:rFonts w:ascii="Times New Roman" w:hAnsi="Times New Roman" w:eastAsia="Times New Roman" w:cs="Times New Roman"/>
                <w:i/>
                <w:iCs/>
                <w:color w:val="000000" w:themeColor="text1"/>
                <w14:textFill>
                  <w14:solidFill>
                    <w14:schemeClr w14:val="tx1"/>
                  </w14:solidFill>
                </w14:textFill>
              </w:rPr>
              <w:t>Empire.</w:t>
            </w:r>
            <w:r>
              <w:rPr>
                <w:rFonts w:ascii="Times New Roman" w:hAnsi="Times New Roman" w:eastAsia="Times New Roman" w:cs="Times New Roman"/>
                <w:color w:val="000000" w:themeColor="text1"/>
                <w14:textFill>
                  <w14:solidFill>
                    <w14:schemeClr w14:val="tx1"/>
                  </w14:solidFill>
                </w14:textFill>
              </w:rPr>
              <w:t> Cambridge, MA: Harvard University Press.</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Jarzombek, M., Vikramaditya, P., &amp; Ching, F. D. K. (2011). Globalization takes command. In </w:t>
            </w:r>
            <w:r>
              <w:rPr>
                <w:rFonts w:ascii="Times New Roman" w:hAnsi="Times New Roman" w:eastAsia="Times New Roman" w:cs="Times New Roman"/>
                <w:i/>
                <w:iCs/>
                <w:color w:val="000000" w:themeColor="text1"/>
                <w14:textFill>
                  <w14:solidFill>
                    <w14:schemeClr w14:val="tx1"/>
                  </w14:solidFill>
                </w14:textFill>
              </w:rPr>
              <w:t>A global history of architecture</w:t>
            </w:r>
            <w:r>
              <w:rPr>
                <w:rFonts w:ascii="Times New Roman" w:hAnsi="Times New Roman" w:eastAsia="Times New Roman" w:cs="Times New Roman"/>
                <w:color w:val="000000" w:themeColor="text1"/>
                <w14:textFill>
                  <w14:solidFill>
                    <w14:schemeClr w14:val="tx1"/>
                  </w14:solidFill>
                </w14:textFill>
              </w:rPr>
              <w:t> (2nd ed.). Hoboken, NJ: Wiley.</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Koolhaas, R. (1995). The Generic City. In R. Koolhaas, OMA &amp; B. Mau (Eds.), </w:t>
            </w:r>
            <w:r>
              <w:rPr>
                <w:rFonts w:ascii="Times New Roman" w:hAnsi="Times New Roman" w:eastAsia="Times New Roman" w:cs="Times New Roman"/>
                <w:i/>
                <w:iCs/>
                <w:color w:val="000000" w:themeColor="text1"/>
                <w14:textFill>
                  <w14:solidFill>
                    <w14:schemeClr w14:val="tx1"/>
                  </w14:solidFill>
                </w14:textFill>
              </w:rPr>
              <w:t>Small, medium, large, extra-large</w:t>
            </w:r>
            <w:r>
              <w:rPr>
                <w:rFonts w:ascii="Times New Roman" w:hAnsi="Times New Roman" w:eastAsia="Times New Roman" w:cs="Times New Roman"/>
                <w:color w:val="000000" w:themeColor="text1"/>
                <w14:textFill>
                  <w14:solidFill>
                    <w14:schemeClr w14:val="tx1"/>
                  </w14:solidFill>
                </w14:textFill>
              </w:rPr>
              <w:t>. New York: Monacelli Press.</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Koolhaas, R. (2002). Junkspace. In A. Mikayke &amp; H. U. Obrist (Eds.), </w:t>
            </w:r>
            <w:r>
              <w:rPr>
                <w:rFonts w:ascii="Times New Roman" w:hAnsi="Times New Roman" w:eastAsia="Times New Roman" w:cs="Times New Roman"/>
                <w:i/>
                <w:iCs/>
                <w:color w:val="000000" w:themeColor="text1"/>
                <w14:textFill>
                  <w14:solidFill>
                    <w14:schemeClr w14:val="tx1"/>
                  </w14:solidFill>
                </w14:textFill>
              </w:rPr>
              <w:t>Bridge the gap? </w:t>
            </w:r>
            <w:r>
              <w:rPr>
                <w:rFonts w:ascii="Times New Roman" w:hAnsi="Times New Roman" w:eastAsia="Times New Roman" w:cs="Times New Roman"/>
                <w:color w:val="000000" w:themeColor="text1"/>
                <w14:textFill>
                  <w14:solidFill>
                    <w14:schemeClr w14:val="tx1"/>
                  </w14:solidFill>
                </w14:textFill>
              </w:rPr>
              <w:t>Kitakyushu, Japan: Center for Contemporary Art (CCA).</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Krauss, R. (1990, Autumn). The cultural logic of the late capitalist museum. </w:t>
            </w:r>
            <w:r>
              <w:rPr>
                <w:rFonts w:ascii="Times New Roman" w:hAnsi="Times New Roman" w:eastAsia="Times New Roman" w:cs="Times New Roman"/>
                <w:i/>
                <w:iCs/>
                <w:color w:val="000000" w:themeColor="text1"/>
                <w14:textFill>
                  <w14:solidFill>
                    <w14:schemeClr w14:val="tx1"/>
                  </w14:solidFill>
                </w14:textFill>
              </w:rPr>
              <w:t>October, 54</w:t>
            </w:r>
            <w:r>
              <w:rPr>
                <w:rFonts w:ascii="Times New Roman" w:hAnsi="Times New Roman" w:eastAsia="Times New Roman" w:cs="Times New Roman"/>
                <w:color w:val="000000" w:themeColor="text1"/>
                <w14:textFill>
                  <w14:solidFill>
                    <w14:schemeClr w14:val="tx1"/>
                  </w14:solidFill>
                </w14:textFill>
              </w:rPr>
              <w:t>, 3-17.</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Mitchell, W. (1999). </w:t>
            </w:r>
            <w:r>
              <w:rPr>
                <w:rFonts w:ascii="Times New Roman" w:hAnsi="Times New Roman" w:eastAsia="Times New Roman" w:cs="Times New Roman"/>
                <w:i/>
                <w:iCs/>
                <w:color w:val="000000" w:themeColor="text1"/>
                <w14:textFill>
                  <w14:solidFill>
                    <w14:schemeClr w14:val="tx1"/>
                  </w14:solidFill>
                </w14:textFill>
              </w:rPr>
              <w:t>E-topia.</w:t>
            </w:r>
            <w:r>
              <w:rPr>
                <w:rFonts w:ascii="Times New Roman" w:hAnsi="Times New Roman" w:eastAsia="Times New Roman" w:cs="Times New Roman"/>
                <w:color w:val="000000" w:themeColor="text1"/>
                <w14:textFill>
                  <w14:solidFill>
                    <w14:schemeClr w14:val="tx1"/>
                  </w14:solidFill>
                </w14:textFill>
              </w:rPr>
              <w:t> Cambridge: MIT Press.</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Ren, X. (2011). </w:t>
            </w:r>
            <w:r>
              <w:rPr>
                <w:rFonts w:ascii="Times New Roman" w:hAnsi="Times New Roman" w:eastAsia="Times New Roman" w:cs="Times New Roman"/>
                <w:i/>
                <w:iCs/>
                <w:color w:val="000000" w:themeColor="text1"/>
                <w14:textFill>
                  <w14:solidFill>
                    <w14:schemeClr w14:val="tx1"/>
                  </w14:solidFill>
                </w14:textFill>
              </w:rPr>
              <w:t>Building globalization: Transnational architecture production in urban China.</w:t>
            </w:r>
            <w:r>
              <w:rPr>
                <w:rFonts w:ascii="Times New Roman" w:hAnsi="Times New Roman" w:eastAsia="Times New Roman" w:cs="Times New Roman"/>
                <w:color w:val="000000" w:themeColor="text1"/>
                <w14:textFill>
                  <w14:solidFill>
                    <w14:schemeClr w14:val="tx1"/>
                  </w14:solidFill>
                </w14:textFill>
              </w:rPr>
              <w:t> Chicago: University of Chicago Press.</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Sassen, S., &amp; Roost, F. (1999). The city: Strategic site for the global entertainment industry. In D. R. Judd &amp; S. S. Fainstein (Eds.), </w:t>
            </w:r>
            <w:r>
              <w:rPr>
                <w:rFonts w:ascii="Times New Roman" w:hAnsi="Times New Roman" w:eastAsia="Times New Roman" w:cs="Times New Roman"/>
                <w:i/>
                <w:iCs/>
                <w:color w:val="000000" w:themeColor="text1"/>
                <w14:textFill>
                  <w14:solidFill>
                    <w14:schemeClr w14:val="tx1"/>
                  </w14:solidFill>
                </w14:textFill>
              </w:rPr>
              <w:t>Tourist city</w:t>
            </w:r>
            <w:r>
              <w:rPr>
                <w:rFonts w:ascii="Times New Roman" w:hAnsi="Times New Roman" w:eastAsia="Times New Roman" w:cs="Times New Roman"/>
                <w:color w:val="000000" w:themeColor="text1"/>
                <w14:textFill>
                  <w14:solidFill>
                    <w14:schemeClr w14:val="tx1"/>
                  </w14:solidFill>
                </w14:textFill>
              </w:rPr>
              <w:t>. New Haven: Yale University Press.</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Sassen, S. (2000). Geographies and countergeographies of globalization. In C. Davidson (Ed.), </w:t>
            </w:r>
            <w:r>
              <w:rPr>
                <w:rFonts w:ascii="Times New Roman" w:hAnsi="Times New Roman" w:eastAsia="Times New Roman" w:cs="Times New Roman"/>
                <w:i/>
                <w:iCs/>
                <w:color w:val="000000" w:themeColor="text1"/>
                <w14:textFill>
                  <w14:solidFill>
                    <w14:schemeClr w14:val="tx1"/>
                  </w14:solidFill>
                </w14:textFill>
              </w:rPr>
              <w:t>Anymore</w:t>
            </w:r>
            <w:r>
              <w:rPr>
                <w:rFonts w:ascii="Times New Roman" w:hAnsi="Times New Roman" w:eastAsia="Times New Roman" w:cs="Times New Roman"/>
                <w:color w:val="000000" w:themeColor="text1"/>
                <w14:textFill>
                  <w14:solidFill>
                    <w14:schemeClr w14:val="tx1"/>
                  </w14:solidFill>
                </w14:textFill>
              </w:rPr>
              <w:t>. Cambridge, MA: MIT Press.</w:t>
            </w:r>
          </w:p>
          <w:p>
            <w:pPr>
              <w:spacing w:after="0" w:line="240" w:lineRule="auto"/>
              <w:ind w:left="432" w:hanging="45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Smil, V. (2010). </w:t>
            </w:r>
            <w:r>
              <w:rPr>
                <w:rFonts w:ascii="Times New Roman" w:hAnsi="Times New Roman" w:eastAsia="Times New Roman" w:cs="Times New Roman"/>
                <w:i/>
                <w:iCs/>
                <w:color w:val="000000" w:themeColor="text1"/>
                <w14:textFill>
                  <w14:solidFill>
                    <w14:schemeClr w14:val="tx1"/>
                  </w14:solidFill>
                </w14:textFill>
              </w:rPr>
              <w:t>Prime movers of globalization.</w:t>
            </w:r>
            <w:r>
              <w:rPr>
                <w:rFonts w:ascii="Times New Roman" w:hAnsi="Times New Roman" w:eastAsia="Times New Roman" w:cs="Times New Roman"/>
                <w:color w:val="000000" w:themeColor="text1"/>
                <w14:textFill>
                  <w14:solidFill>
                    <w14:schemeClr w14:val="tx1"/>
                  </w14:solidFill>
                </w14:textFill>
              </w:rPr>
              <w:t> Cambridge: MIT Press.</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Courier New">
    <w:panose1 w:val="02070309020205020404"/>
    <w:charset w:val="00"/>
    <w:family w:val="modern"/>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0F0849"/>
    <w:multiLevelType w:val="multilevel"/>
    <w:tmpl w:val="2B0F0849"/>
    <w:lvl w:ilvl="0" w:tentative="0">
      <w:start w:val="1"/>
      <w:numFmt w:val="bullet"/>
      <w:lvlText w:val="-"/>
      <w:lvlJc w:val="left"/>
      <w:pPr>
        <w:ind w:left="720" w:hanging="360"/>
      </w:pPr>
      <w:rPr>
        <w:rFonts w:hint="default" w:ascii="Calibri" w:hAnsi="Calibri" w:eastAsiaTheme="minorEastAsia"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D748B4"/>
    <w:multiLevelType w:val="multilevel"/>
    <w:tmpl w:val="2DD748B4"/>
    <w:lvl w:ilvl="0" w:tentative="0">
      <w:start w:val="1"/>
      <w:numFmt w:val="decimal"/>
      <w:lvlText w:val="%1．"/>
      <w:lvlJc w:val="left"/>
      <w:pPr>
        <w:ind w:left="360" w:hanging="360"/>
      </w:pPr>
      <w:rPr>
        <w:rFonts w:hint="default" w:eastAsiaTheme="minor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78AA67C5"/>
    <w:multiLevelType w:val="multilevel"/>
    <w:tmpl w:val="78AA67C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78D010A7"/>
    <w:multiLevelType w:val="multilevel"/>
    <w:tmpl w:val="78D010A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0274E"/>
    <w:rsid w:val="00016D09"/>
    <w:rsid w:val="00046DFD"/>
    <w:rsid w:val="0006061D"/>
    <w:rsid w:val="00065C8F"/>
    <w:rsid w:val="000A3107"/>
    <w:rsid w:val="000A548F"/>
    <w:rsid w:val="000B4F6B"/>
    <w:rsid w:val="000B5B61"/>
    <w:rsid w:val="000C4BA4"/>
    <w:rsid w:val="00113507"/>
    <w:rsid w:val="00124F58"/>
    <w:rsid w:val="00133ABB"/>
    <w:rsid w:val="00135619"/>
    <w:rsid w:val="0014477D"/>
    <w:rsid w:val="001473BE"/>
    <w:rsid w:val="00152B75"/>
    <w:rsid w:val="00153410"/>
    <w:rsid w:val="001552DE"/>
    <w:rsid w:val="00160181"/>
    <w:rsid w:val="00181BE7"/>
    <w:rsid w:val="001A4FE4"/>
    <w:rsid w:val="001A637A"/>
    <w:rsid w:val="001C7AD8"/>
    <w:rsid w:val="001D019D"/>
    <w:rsid w:val="001D0BF5"/>
    <w:rsid w:val="001E73FD"/>
    <w:rsid w:val="00207DEF"/>
    <w:rsid w:val="00227A34"/>
    <w:rsid w:val="002428BC"/>
    <w:rsid w:val="0026026C"/>
    <w:rsid w:val="00262AE8"/>
    <w:rsid w:val="0026569D"/>
    <w:rsid w:val="0027360E"/>
    <w:rsid w:val="0028182B"/>
    <w:rsid w:val="0028463A"/>
    <w:rsid w:val="002A157D"/>
    <w:rsid w:val="002A6549"/>
    <w:rsid w:val="002A6D69"/>
    <w:rsid w:val="002A7980"/>
    <w:rsid w:val="002B6537"/>
    <w:rsid w:val="002D4CDC"/>
    <w:rsid w:val="002F4424"/>
    <w:rsid w:val="003036D4"/>
    <w:rsid w:val="003237D3"/>
    <w:rsid w:val="00341CDD"/>
    <w:rsid w:val="00366702"/>
    <w:rsid w:val="003715C0"/>
    <w:rsid w:val="00377008"/>
    <w:rsid w:val="003930C1"/>
    <w:rsid w:val="003948E3"/>
    <w:rsid w:val="00395246"/>
    <w:rsid w:val="0039570D"/>
    <w:rsid w:val="003C4422"/>
    <w:rsid w:val="003D10F5"/>
    <w:rsid w:val="003D2213"/>
    <w:rsid w:val="003E65CC"/>
    <w:rsid w:val="00446816"/>
    <w:rsid w:val="00461685"/>
    <w:rsid w:val="00467A35"/>
    <w:rsid w:val="00474457"/>
    <w:rsid w:val="00482E2E"/>
    <w:rsid w:val="00487AD7"/>
    <w:rsid w:val="004921CE"/>
    <w:rsid w:val="0049370C"/>
    <w:rsid w:val="004D4153"/>
    <w:rsid w:val="004D4785"/>
    <w:rsid w:val="004D62C4"/>
    <w:rsid w:val="004E283B"/>
    <w:rsid w:val="005031D5"/>
    <w:rsid w:val="00511D50"/>
    <w:rsid w:val="00520B0A"/>
    <w:rsid w:val="00546197"/>
    <w:rsid w:val="005535CE"/>
    <w:rsid w:val="00557AD3"/>
    <w:rsid w:val="00565461"/>
    <w:rsid w:val="00577467"/>
    <w:rsid w:val="00577ECF"/>
    <w:rsid w:val="005B4A3D"/>
    <w:rsid w:val="005B52BE"/>
    <w:rsid w:val="005C749D"/>
    <w:rsid w:val="005E656D"/>
    <w:rsid w:val="005E6753"/>
    <w:rsid w:val="005F49AB"/>
    <w:rsid w:val="0061590F"/>
    <w:rsid w:val="00625DD3"/>
    <w:rsid w:val="00647F8A"/>
    <w:rsid w:val="00656964"/>
    <w:rsid w:val="00663B60"/>
    <w:rsid w:val="00686943"/>
    <w:rsid w:val="006A13AE"/>
    <w:rsid w:val="006C6830"/>
    <w:rsid w:val="006D3645"/>
    <w:rsid w:val="006F03B8"/>
    <w:rsid w:val="006F1849"/>
    <w:rsid w:val="006F49C1"/>
    <w:rsid w:val="00705456"/>
    <w:rsid w:val="00707583"/>
    <w:rsid w:val="00711D0A"/>
    <w:rsid w:val="007252D6"/>
    <w:rsid w:val="0074127F"/>
    <w:rsid w:val="00784A11"/>
    <w:rsid w:val="00795F2D"/>
    <w:rsid w:val="007A19E1"/>
    <w:rsid w:val="007B376D"/>
    <w:rsid w:val="007D4099"/>
    <w:rsid w:val="007E4B77"/>
    <w:rsid w:val="00807627"/>
    <w:rsid w:val="008158EA"/>
    <w:rsid w:val="00823ACC"/>
    <w:rsid w:val="0082596B"/>
    <w:rsid w:val="00825C1B"/>
    <w:rsid w:val="00827A61"/>
    <w:rsid w:val="00857453"/>
    <w:rsid w:val="00890F38"/>
    <w:rsid w:val="008954B7"/>
    <w:rsid w:val="008A7203"/>
    <w:rsid w:val="008C6E46"/>
    <w:rsid w:val="008D20FE"/>
    <w:rsid w:val="008E4878"/>
    <w:rsid w:val="008F7DAE"/>
    <w:rsid w:val="00901F86"/>
    <w:rsid w:val="00904EBA"/>
    <w:rsid w:val="0090604F"/>
    <w:rsid w:val="00907933"/>
    <w:rsid w:val="00914990"/>
    <w:rsid w:val="009159D5"/>
    <w:rsid w:val="009202E6"/>
    <w:rsid w:val="0092232B"/>
    <w:rsid w:val="00931F97"/>
    <w:rsid w:val="009325A7"/>
    <w:rsid w:val="0094583E"/>
    <w:rsid w:val="009513CD"/>
    <w:rsid w:val="009521A6"/>
    <w:rsid w:val="00962C24"/>
    <w:rsid w:val="00965009"/>
    <w:rsid w:val="009744FC"/>
    <w:rsid w:val="00975E54"/>
    <w:rsid w:val="00983A28"/>
    <w:rsid w:val="009A0D3D"/>
    <w:rsid w:val="009A13D5"/>
    <w:rsid w:val="009A1690"/>
    <w:rsid w:val="009B32C9"/>
    <w:rsid w:val="009C2014"/>
    <w:rsid w:val="009D2DAB"/>
    <w:rsid w:val="009E73FA"/>
    <w:rsid w:val="00A16565"/>
    <w:rsid w:val="00A3078F"/>
    <w:rsid w:val="00A37564"/>
    <w:rsid w:val="00A515EB"/>
    <w:rsid w:val="00A54CA9"/>
    <w:rsid w:val="00A6012C"/>
    <w:rsid w:val="00A61B1F"/>
    <w:rsid w:val="00A960D0"/>
    <w:rsid w:val="00AA1909"/>
    <w:rsid w:val="00AC1B9C"/>
    <w:rsid w:val="00AC5156"/>
    <w:rsid w:val="00AD0114"/>
    <w:rsid w:val="00AD3765"/>
    <w:rsid w:val="00AD5E93"/>
    <w:rsid w:val="00AD7DBD"/>
    <w:rsid w:val="00AD7E02"/>
    <w:rsid w:val="00AE6C69"/>
    <w:rsid w:val="00B05FFC"/>
    <w:rsid w:val="00B10595"/>
    <w:rsid w:val="00B1175B"/>
    <w:rsid w:val="00B20254"/>
    <w:rsid w:val="00B328AD"/>
    <w:rsid w:val="00B41900"/>
    <w:rsid w:val="00B45240"/>
    <w:rsid w:val="00B62F91"/>
    <w:rsid w:val="00B74383"/>
    <w:rsid w:val="00B970D8"/>
    <w:rsid w:val="00BB3A08"/>
    <w:rsid w:val="00BB54A5"/>
    <w:rsid w:val="00BE022B"/>
    <w:rsid w:val="00C02F6C"/>
    <w:rsid w:val="00C040DE"/>
    <w:rsid w:val="00C2626F"/>
    <w:rsid w:val="00C46B87"/>
    <w:rsid w:val="00C73038"/>
    <w:rsid w:val="00C85828"/>
    <w:rsid w:val="00C91090"/>
    <w:rsid w:val="00CB685A"/>
    <w:rsid w:val="00CD7373"/>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D0FA1"/>
    <w:rsid w:val="00DF1112"/>
    <w:rsid w:val="00DF671F"/>
    <w:rsid w:val="00E025AD"/>
    <w:rsid w:val="00E03371"/>
    <w:rsid w:val="00E06426"/>
    <w:rsid w:val="00E30BA9"/>
    <w:rsid w:val="00E43921"/>
    <w:rsid w:val="00E44B69"/>
    <w:rsid w:val="00E5402A"/>
    <w:rsid w:val="00E54B0F"/>
    <w:rsid w:val="00E5505D"/>
    <w:rsid w:val="00E82D97"/>
    <w:rsid w:val="00E85F6E"/>
    <w:rsid w:val="00E90402"/>
    <w:rsid w:val="00E953DB"/>
    <w:rsid w:val="00EA259D"/>
    <w:rsid w:val="00EB20C0"/>
    <w:rsid w:val="00EC1070"/>
    <w:rsid w:val="00ED2940"/>
    <w:rsid w:val="00ED30B5"/>
    <w:rsid w:val="00ED4BAC"/>
    <w:rsid w:val="00F262EB"/>
    <w:rsid w:val="00F31710"/>
    <w:rsid w:val="00F46C0A"/>
    <w:rsid w:val="00F67475"/>
    <w:rsid w:val="00F746B7"/>
    <w:rsid w:val="00FC1AA0"/>
    <w:rsid w:val="00FC687D"/>
    <w:rsid w:val="00FE20EB"/>
    <w:rsid w:val="00FE3349"/>
    <w:rsid w:val="00FE4D40"/>
    <w:rsid w:val="00FF22DC"/>
    <w:rsid w:val="08D66BD3"/>
    <w:rsid w:val="1D7B6EC1"/>
    <w:rsid w:val="326556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Balloon Text Char"/>
    <w:basedOn w:val="5"/>
    <w:link w:val="2"/>
    <w:semiHidden/>
    <w:qFormat/>
    <w:uiPriority w:val="99"/>
    <w:rPr>
      <w:sz w:val="18"/>
      <w:szCs w:val="18"/>
    </w:rPr>
  </w:style>
  <w:style w:type="character" w:customStyle="1" w:styleId="13">
    <w:name w:val="Header Char"/>
    <w:basedOn w:val="5"/>
    <w:link w:val="4"/>
    <w:qFormat/>
    <w:uiPriority w:val="99"/>
    <w:rPr>
      <w:sz w:val="18"/>
      <w:szCs w:val="18"/>
    </w:rPr>
  </w:style>
  <w:style w:type="character" w:customStyle="1" w:styleId="14">
    <w:name w:val="Footer Char"/>
    <w:basedOn w:val="5"/>
    <w:link w:val="3"/>
    <w:qFormat/>
    <w:uiPriority w:val="99"/>
    <w:rPr>
      <w:sz w:val="18"/>
      <w:szCs w:val="18"/>
    </w:rPr>
  </w:style>
  <w:style w:type="paragraph" w:customStyle="1" w:styleId="15">
    <w:name w:val="Revision"/>
    <w:hidden/>
    <w:semiHidden/>
    <w:uiPriority w:val="99"/>
    <w:pPr>
      <w:spacing w:after="0" w:line="240" w:lineRule="auto"/>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B63EF-5DD8-4ADD-8B84-894103761F5A}">
  <ds:schemaRefs/>
</ds:datastoreItem>
</file>

<file path=docProps/app.xml><?xml version="1.0" encoding="utf-8"?>
<Properties xmlns="http://schemas.openxmlformats.org/officeDocument/2006/extended-properties" xmlns:vt="http://schemas.openxmlformats.org/officeDocument/2006/docPropsVTypes">
  <Template>Normal</Template>
  <Pages>4</Pages>
  <Words>943</Words>
  <Characters>5381</Characters>
  <Lines>44</Lines>
  <Paragraphs>12</Paragraphs>
  <TotalTime>0</TotalTime>
  <ScaleCrop>false</ScaleCrop>
  <LinksUpToDate>false</LinksUpToDate>
  <CharactersWithSpaces>6312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2018-12-13T03:46:00Z</dcterms:created>
  <dc:creator>xiqiang yang</dc:creator>
  <cp:lastModifiedBy>丫丫</cp:lastModifiedBy>
  <cp:lastPrinted>2018-12-12T08:57:00Z</cp:lastPrinted>
  <dcterms:modified xsi:type="dcterms:W3CDTF">2018-12-28T02:23:31Z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